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sidR="003524C4">
        <w:rPr>
          <w:rFonts w:ascii="Times New Roman" w:hAnsi="Times New Roman" w:cs="Times New Roman"/>
          <w:sz w:val="24"/>
          <w:szCs w:val="24"/>
        </w:rPr>
        <w:t>3</w:t>
      </w:r>
    </w:p>
    <w:p w:rsidR="00D25E92" w:rsidP="00D25E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5E92" w:rsidP="00D25E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5E92" w:rsidRPr="00D4242B" w:rsidP="00D25E92">
      <w:pPr>
        <w:rPr>
          <w:rFonts w:ascii="Times New Roman" w:hAnsi="Times New Roman" w:cs="Times New Roman"/>
          <w:sz w:val="24"/>
          <w:szCs w:val="24"/>
        </w:rPr>
      </w:pPr>
    </w:p>
    <w:p w:rsidR="00D25E92" w:rsidRPr="00D4242B" w:rsidP="00D25E92">
      <w:pPr>
        <w:rPr>
          <w:rFonts w:ascii="Times New Roman" w:hAnsi="Times New Roman" w:cs="Times New Roman"/>
          <w:sz w:val="24"/>
          <w:szCs w:val="24"/>
        </w:rPr>
      </w:pPr>
    </w:p>
    <w:p w:rsidR="00D25E92" w:rsidRPr="00D4242B" w:rsidP="00D25E92">
      <w:pPr>
        <w:rPr>
          <w:rFonts w:ascii="Times New Roman" w:hAnsi="Times New Roman" w:cs="Times New Roman"/>
          <w:sz w:val="24"/>
          <w:szCs w:val="24"/>
        </w:rPr>
      </w:pPr>
    </w:p>
    <w:p w:rsidR="00D25E92" w:rsidP="00D25E92">
      <w:pPr>
        <w:rPr>
          <w:rFonts w:ascii="Times New Roman" w:hAnsi="Times New Roman" w:cs="Times New Roman"/>
          <w:sz w:val="24"/>
          <w:szCs w:val="24"/>
        </w:rPr>
      </w:pPr>
    </w:p>
    <w:p w:rsidR="00D25E92" w:rsidP="00D25E92">
      <w:pPr>
        <w:rPr>
          <w:rFonts w:ascii="Times New Roman" w:hAnsi="Times New Roman" w:cs="Times New Roman"/>
          <w:sz w:val="24"/>
          <w:szCs w:val="24"/>
        </w:rPr>
      </w:pPr>
    </w:p>
    <w:p w:rsidR="00D25E92" w:rsidP="00D25E92">
      <w:pPr>
        <w:rPr>
          <w:rFonts w:ascii="Times New Roman" w:hAnsi="Times New Roman" w:cs="Times New Roman"/>
          <w:sz w:val="24"/>
          <w:szCs w:val="24"/>
        </w:rPr>
      </w:pPr>
    </w:p>
    <w:p w:rsidR="00D25E92" w:rsidP="00D25E92">
      <w:pPr>
        <w:rPr>
          <w:rFonts w:ascii="Times New Roman" w:hAnsi="Times New Roman" w:cs="Times New Roman"/>
          <w:sz w:val="24"/>
          <w:szCs w:val="24"/>
        </w:rPr>
      </w:pPr>
    </w:p>
    <w:p w:rsidR="00D25E92" w:rsidP="00D25E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sidR="003524C4">
        <w:rPr>
          <w:rFonts w:ascii="Times New Roman" w:hAnsi="Times New Roman" w:cs="Times New Roman"/>
          <w:sz w:val="24"/>
          <w:szCs w:val="24"/>
        </w:rPr>
        <w:t>3</w:t>
      </w:r>
    </w:p>
    <w:p w:rsidR="00D25E92" w:rsidP="00FA1EDF">
      <w:pPr>
        <w:spacing w:line="480" w:lineRule="auto"/>
        <w:rPr>
          <w:rFonts w:ascii="Times New Roman" w:hAnsi="Times New Roman" w:cs="Times New Roman"/>
          <w:color w:val="222222"/>
          <w:sz w:val="24"/>
          <w:szCs w:val="24"/>
          <w:shd w:val="clear" w:color="auto" w:fill="FFFFFF"/>
        </w:rPr>
      </w:pPr>
      <w:r w:rsidRPr="00180D2E">
        <w:rPr>
          <w:rFonts w:ascii="Times New Roman" w:hAnsi="Times New Roman" w:cs="Times New Roman"/>
          <w:color w:val="222222"/>
          <w:sz w:val="24"/>
          <w:szCs w:val="24"/>
          <w:shd w:val="clear" w:color="auto" w:fill="FFFFFF"/>
        </w:rPr>
        <w:t>Describe the Nuremberg Code. Provide a brief summary of it, and include the history of the code. How does the Nuremberg Code compare to the other medical professional code of ethics?</w:t>
      </w:r>
    </w:p>
    <w:p w:rsidR="00180D2E" w:rsidRPr="00180D2E" w:rsidP="00FA1EDF">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FF292A">
        <w:rPr>
          <w:rFonts w:ascii="Times New Roman" w:hAnsi="Times New Roman" w:cs="Times New Roman"/>
          <w:color w:val="222222"/>
          <w:sz w:val="24"/>
          <w:szCs w:val="24"/>
          <w:shd w:val="clear" w:color="auto" w:fill="FFFFFF"/>
        </w:rPr>
        <w:t>The Nuremberg Code is a compilation of research ethics guidelines that experimenters should apply based on the ruling of the Nuremberg trials. In 20</w:t>
      </w:r>
      <w:r w:rsidRPr="00FF292A" w:rsidR="00FF292A">
        <w:rPr>
          <w:rFonts w:ascii="Times New Roman" w:hAnsi="Times New Roman" w:cs="Times New Roman"/>
          <w:color w:val="222222"/>
          <w:sz w:val="24"/>
          <w:szCs w:val="24"/>
          <w:shd w:val="clear" w:color="auto" w:fill="FFFFFF"/>
          <w:vertAlign w:val="superscript"/>
        </w:rPr>
        <w:t>th</w:t>
      </w:r>
      <w:r w:rsidR="00FF292A">
        <w:rPr>
          <w:rFonts w:ascii="Times New Roman" w:hAnsi="Times New Roman" w:cs="Times New Roman"/>
          <w:color w:val="222222"/>
          <w:sz w:val="24"/>
          <w:szCs w:val="24"/>
          <w:shd w:val="clear" w:color="auto" w:fill="FFFFFF"/>
        </w:rPr>
        <w:t xml:space="preserve"> Aug. 1947, the judges ruled in the “Specialist’s” litigation against Brandt and sixteen other individuals. The trials were based on the professional requirements for human experimentation. The Nazi physicians were tried for offenses against humanity</w:t>
      </w:r>
      <w:r w:rsidR="00FA1EDF">
        <w:rPr>
          <w:rFonts w:ascii="Times New Roman" w:hAnsi="Times New Roman" w:cs="Times New Roman"/>
          <w:color w:val="222222"/>
          <w:sz w:val="24"/>
          <w:szCs w:val="24"/>
          <w:shd w:val="clear" w:color="auto" w:fill="FFFFFF"/>
        </w:rPr>
        <w:t xml:space="preserve"> based on the dehumanizing experiments they carried out on unwilling captives of war. The Jewish prisoners were tattooed with identifiers on their arms; the numbers would be used to identify their corpses. Dr. Leo Alexander presented to the Counsel of War six </w:t>
      </w:r>
      <w:r w:rsidR="0062617A">
        <w:rPr>
          <w:rFonts w:ascii="Times New Roman" w:hAnsi="Times New Roman" w:cs="Times New Roman"/>
          <w:color w:val="222222"/>
          <w:sz w:val="24"/>
          <w:szCs w:val="24"/>
          <w:shd w:val="clear" w:color="auto" w:fill="FFFFFF"/>
        </w:rPr>
        <w:t xml:space="preserve">regulations </w:t>
      </w:r>
      <w:r w:rsidR="00FA1EDF">
        <w:rPr>
          <w:rFonts w:ascii="Times New Roman" w:hAnsi="Times New Roman" w:cs="Times New Roman"/>
          <w:color w:val="222222"/>
          <w:sz w:val="24"/>
          <w:szCs w:val="24"/>
          <w:shd w:val="clear" w:color="auto" w:fill="FFFFFF"/>
        </w:rPr>
        <w:t>that should be used</w:t>
      </w:r>
      <w:r w:rsidR="0062617A">
        <w:rPr>
          <w:rFonts w:ascii="Times New Roman" w:hAnsi="Times New Roman" w:cs="Times New Roman"/>
          <w:color w:val="222222"/>
          <w:sz w:val="24"/>
          <w:szCs w:val="24"/>
          <w:shd w:val="clear" w:color="auto" w:fill="FFFFFF"/>
        </w:rPr>
        <w:t xml:space="preserve"> in compulsory therapeutic research (</w:t>
      </w:r>
      <w:r w:rsidR="0062617A">
        <w:rPr>
          <w:rFonts w:ascii="Times New Roman" w:hAnsi="Times New Roman" w:cs="Times New Roman"/>
          <w:color w:val="222222"/>
          <w:sz w:val="24"/>
          <w:szCs w:val="24"/>
          <w:shd w:val="clear" w:color="auto" w:fill="FFFFFF"/>
        </w:rPr>
        <w:t>Ghooi</w:t>
      </w:r>
      <w:r w:rsidR="0062617A">
        <w:rPr>
          <w:rFonts w:ascii="Times New Roman" w:hAnsi="Times New Roman" w:cs="Times New Roman"/>
          <w:color w:val="222222"/>
          <w:sz w:val="24"/>
          <w:szCs w:val="24"/>
          <w:shd w:val="clear" w:color="auto" w:fill="FFFFFF"/>
        </w:rPr>
        <w:t xml:space="preserve">, 2011). The trial included other four regulations that constituted the ten principles of the Nuremberg Code. The compares to other professional codes of ethics since it incorporates standards such as informed consent and non-attendance compulsion that characterize most of them. Like other codes, medical interventions should result in optimal care outcomes; therefore, they should prevent patients from physical and mental distress. Also, treatment administered should be based on evidence-centered research to enhance their efficiency.  </w:t>
      </w:r>
      <w:r w:rsidR="00240E0D">
        <w:rPr>
          <w:rFonts w:ascii="Times New Roman" w:hAnsi="Times New Roman" w:cs="Times New Roman"/>
          <w:color w:val="222222"/>
          <w:sz w:val="24"/>
          <w:szCs w:val="24"/>
          <w:shd w:val="clear" w:color="auto" w:fill="FFFFFF"/>
        </w:rPr>
        <w:t>Most importantly, it compares to other codes since it requires that qualified medical practitioners should conduct experiments.
</w:t>
      </w:r>
    </w:p>
    <w:p w:rsidR="00D25E92" w:rsidP="00D25E92">
      <w:pPr>
        <w:spacing w:line="480" w:lineRule="auto"/>
        <w:rPr>
          <w:rFonts w:ascii="Times New Roman" w:hAnsi="Times New Roman" w:cs="Times New Roman"/>
          <w:sz w:val="24"/>
          <w:szCs w:val="24"/>
        </w:rPr>
      </w:pPr>
      <w:r>
        <w:rPr>
          <w:rFonts w:ascii="Times New Roman" w:hAnsi="Times New Roman" w:cs="Times New Roman"/>
          <w:sz w:val="24"/>
          <w:szCs w:val="24"/>
        </w:rPr>
        <w:tab/>
      </w:r>
    </w:p>
    <w:p w:rsidR="00D25E92" w:rsidRPr="005112D6" w:rsidP="00D25E92">
      <w:pPr>
        <w:spacing w:line="480" w:lineRule="auto"/>
        <w:rPr>
          <w:rFonts w:ascii="Times New Roman" w:hAnsi="Times New Roman" w:cs="Times New Roman"/>
          <w:sz w:val="24"/>
          <w:szCs w:val="24"/>
        </w:rPr>
      </w:pPr>
    </w:p>
    <w:p w:rsidR="0080412D"/>
    <w:p w:rsidR="00F25AC2"/>
    <w:p w:rsidR="00F25AC2" w:rsidP="00F25AC2">
      <w:pPr>
        <w:spacing w:line="480" w:lineRule="auto"/>
        <w:jc w:val="center"/>
        <w:rPr>
          <w:rFonts w:ascii="Times New Roman" w:hAnsi="Times New Roman" w:cs="Times New Roman"/>
          <w:sz w:val="24"/>
          <w:szCs w:val="24"/>
        </w:rPr>
      </w:pPr>
      <w:r w:rsidRPr="00F25AC2">
        <w:rPr>
          <w:rFonts w:ascii="Times New Roman" w:hAnsi="Times New Roman" w:cs="Times New Roman"/>
          <w:sz w:val="24"/>
          <w:szCs w:val="24"/>
        </w:rPr>
        <w:t>Reference</w:t>
      </w:r>
    </w:p>
    <w:p w:rsidR="00F25AC2" w:rsidP="00F25AC2">
      <w:pPr>
        <w:spacing w:line="480" w:lineRule="auto"/>
        <w:rPr>
          <w:rFonts w:ascii="Times New Roman" w:hAnsi="Times New Roman" w:cs="Times New Roman"/>
          <w:sz w:val="24"/>
          <w:szCs w:val="24"/>
        </w:rPr>
      </w:pPr>
      <w:r>
        <w:rPr>
          <w:rFonts w:ascii="Times New Roman" w:hAnsi="Times New Roman" w:cs="Times New Roman"/>
          <w:sz w:val="24"/>
          <w:szCs w:val="24"/>
        </w:rPr>
        <w:t>Ghooi</w:t>
      </w:r>
      <w:r>
        <w:rPr>
          <w:rFonts w:ascii="Times New Roman" w:hAnsi="Times New Roman" w:cs="Times New Roman"/>
          <w:sz w:val="24"/>
          <w:szCs w:val="24"/>
        </w:rPr>
        <w:t xml:space="preserve">, B. R. (2011). The Nuremberg Code- A critique. </w:t>
      </w:r>
      <w:r w:rsidRPr="00F25AC2">
        <w:rPr>
          <w:rFonts w:ascii="Times New Roman" w:hAnsi="Times New Roman" w:cs="Times New Roman"/>
          <w:i/>
          <w:sz w:val="24"/>
          <w:szCs w:val="24"/>
        </w:rPr>
        <w:t>Perspective in Clinical Research</w:t>
      </w:r>
      <w:r>
        <w:rPr>
          <w:rFonts w:ascii="Times New Roman" w:hAnsi="Times New Roman" w:cs="Times New Roman"/>
          <w:sz w:val="24"/>
          <w:szCs w:val="24"/>
        </w:rPr>
        <w:t>, 2(2),</w:t>
      </w:r>
    </w:p>
    <w:p w:rsidR="00F25AC2" w:rsidP="00F25AC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77-76.</w:t>
      </w:r>
    </w:p>
    <w:p w:rsidR="00F25AC2" w:rsidP="00F25AC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doi</w:t>
      </w:r>
      <w:r>
        <w:rPr>
          <w:rFonts w:ascii="Times New Roman" w:hAnsi="Times New Roman" w:cs="Times New Roman"/>
          <w:sz w:val="24"/>
          <w:szCs w:val="24"/>
        </w:rPr>
        <w:t xml:space="preserve">: </w:t>
      </w:r>
      <w:hyperlink r:id="rId4" w:history="1">
        <w:r w:rsidRPr="00015ED7">
          <w:rPr>
            <w:rStyle w:val="Hyperlink"/>
            <w:rFonts w:ascii="Times New Roman" w:hAnsi="Times New Roman" w:cs="Times New Roman"/>
            <w:sz w:val="24"/>
            <w:szCs w:val="24"/>
          </w:rPr>
          <w:t>https://dx.doi.org/10.410</w:t>
        </w:r>
        <w:bookmarkStart w:id="0" w:name="_GoBack"/>
        <w:r w:rsidRPr="00015ED7">
          <w:rPr>
            <w:rStyle w:val="Hyperlink"/>
            <w:rFonts w:ascii="Times New Roman" w:hAnsi="Times New Roman" w:cs="Times New Roman"/>
            <w:sz w:val="24"/>
            <w:szCs w:val="24"/>
          </w:rPr>
          <w:t>3</w:t>
        </w:r>
        <w:bookmarkEnd w:id="0"/>
        <w:r w:rsidRPr="00015ED7">
          <w:rPr>
            <w:rStyle w:val="Hyperlink"/>
            <w:rFonts w:ascii="Times New Roman" w:hAnsi="Times New Roman" w:cs="Times New Roman"/>
            <w:sz w:val="24"/>
            <w:szCs w:val="24"/>
          </w:rPr>
          <w:t>%2F2229-3485.80371</w:t>
        </w:r>
      </w:hyperlink>
    </w:p>
    <w:p w:rsidR="00F25AC2" w:rsidRPr="00F25AC2" w:rsidP="00F25AC2">
      <w:pPr>
        <w:spacing w:line="480" w:lineRule="auto"/>
        <w:rPr>
          <w:rFonts w:ascii="Times New Roman" w:hAnsi="Times New Roman" w:cs="Times New Roman"/>
          <w:sz w:val="24"/>
          <w:szCs w:val="24"/>
        </w:rPr>
      </w:pPr>
    </w:p>
    <w:sectPr w:rsidSect="00D424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Pr>
            <w:rFonts w:ascii="Times New Roman" w:hAnsi="Times New Roman" w:cs="Times New Roman"/>
            <w:noProof/>
            <w:sz w:val="24"/>
            <w:szCs w:val="24"/>
          </w:rPr>
          <w:t>3</w:t>
        </w:r>
        <w:r w:rsidRPr="00D4242B">
          <w:rPr>
            <w:rFonts w:ascii="Times New Roman" w:hAnsi="Times New Roman" w:cs="Times New Roman"/>
            <w:noProof/>
            <w:sz w:val="24"/>
            <w:szCs w:val="24"/>
          </w:rPr>
          <w:fldChar w:fldCharType="end"/>
        </w:r>
      </w:sdtContent>
    </w:sdt>
  </w:p>
  <w:p w:rsidR="00D42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R</w:t>
    </w:r>
    <w:r w:rsidRPr="00D4242B">
      <w:rPr>
        <w:rFonts w:ascii="Times New Roman" w:hAnsi="Times New Roman" w:cs="Times New Roman"/>
        <w:sz w:val="24"/>
        <w:szCs w:val="24"/>
      </w:rPr>
      <w:t xml:space="preserve">unning head: </w:t>
    </w:r>
    <w:r w:rsidRPr="00D4242B">
      <w:rPr>
        <w:rFonts w:ascii="Times New Roman" w:hAnsi="Times New Roman" w:cs="Times New Roman"/>
        <w:sz w:val="24"/>
        <w:szCs w:val="24"/>
      </w:rPr>
      <w:t xml:space="preserve"> </w:t>
    </w:r>
    <w:r>
      <w:rPr>
        <w:rFonts w:ascii="Times New Roman" w:hAnsi="Times New Roman" w:cs="Times New Roman"/>
        <w:sz w:val="24"/>
        <w:szCs w:val="24"/>
      </w:rPr>
      <w:t>HEALTH CARE IV</w:t>
    </w:r>
    <w:r>
      <w:rPr>
        <w:rFonts w:ascii="Times New Roman" w:hAnsi="Times New Roman" w:cs="Times New Roman"/>
        <w:sz w:val="24"/>
        <w:szCs w:val="24"/>
      </w:rPr>
      <w:t xml:space="preserve"> and </w:t>
    </w:r>
    <w:r>
      <w:rPr>
        <w:rFonts w:ascii="Times New Roman" w:hAnsi="Times New Roman" w:cs="Times New Roman"/>
        <w:sz w:val="24"/>
        <w:szCs w:val="24"/>
      </w:rPr>
      <w:t>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62617A">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E92"/>
    <w:rsid w:val="00015ED7"/>
    <w:rsid w:val="00180D2E"/>
    <w:rsid w:val="001D2666"/>
    <w:rsid w:val="00240E0D"/>
    <w:rsid w:val="003524C4"/>
    <w:rsid w:val="005112D6"/>
    <w:rsid w:val="0062617A"/>
    <w:rsid w:val="0080412D"/>
    <w:rsid w:val="00BD4F4E"/>
    <w:rsid w:val="00D25E92"/>
    <w:rsid w:val="00D4242B"/>
    <w:rsid w:val="00F25AC2"/>
    <w:rsid w:val="00FA1EDF"/>
    <w:rsid w:val="00FF29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E92"/>
  </w:style>
  <w:style w:type="character" w:styleId="Hyperlink">
    <w:name w:val="Hyperlink"/>
    <w:basedOn w:val="DefaultParagraphFont"/>
    <w:uiPriority w:val="99"/>
    <w:unhideWhenUsed/>
    <w:rsid w:val="00D25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x.doi.org/10.4103%2F2229-3485.8037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2019-06-07T10:13:00Z</dcterms:created>
  <dcterms:modified xsi:type="dcterms:W3CDTF">2019-06-07T10:54:00Z</dcterms:modified>
</cp:coreProperties>
</file>